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87EF" w14:textId="551E2EB4" w:rsidR="007A44A4" w:rsidRPr="00CD744F" w:rsidRDefault="007E74D6" w:rsidP="000C0F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Practice Guidelines</w:t>
      </w:r>
      <w:r w:rsidR="00F2749B">
        <w:rPr>
          <w:rFonts w:ascii="Times New Roman" w:hAnsi="Times New Roman" w:cs="Times New Roman"/>
          <w:b/>
          <w:bCs/>
          <w:sz w:val="24"/>
          <w:szCs w:val="24"/>
          <w:u w:val="single"/>
        </w:rPr>
        <w:t>: Bipolar Disorder</w:t>
      </w: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Adult</w:t>
      </w:r>
    </w:p>
    <w:p w14:paraId="5C1F1FC0" w14:textId="3111DED8" w:rsidR="007E74D6" w:rsidRPr="00CD744F" w:rsidRDefault="007E74D6" w:rsidP="007E74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10C7BB" w14:textId="01F2A016" w:rsidR="000C0F04" w:rsidRPr="00CD744F" w:rsidRDefault="007E74D6" w:rsidP="007E74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744F">
        <w:rPr>
          <w:rFonts w:ascii="Times New Roman" w:hAnsi="Times New Roman" w:cs="Times New Roman"/>
          <w:b/>
          <w:bCs/>
          <w:sz w:val="24"/>
          <w:szCs w:val="24"/>
        </w:rPr>
        <w:t>Bipolar Disorder: Outpatient Care</w:t>
      </w:r>
    </w:p>
    <w:p w14:paraId="4EFCDF54" w14:textId="77777777" w:rsidR="00216F49" w:rsidRPr="000C0F04" w:rsidRDefault="007E74D6" w:rsidP="00216F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F04">
        <w:rPr>
          <w:rFonts w:ascii="Times New Roman" w:hAnsi="Times New Roman" w:cs="Times New Roman"/>
          <w:sz w:val="24"/>
          <w:szCs w:val="24"/>
          <w:u w:val="single"/>
        </w:rPr>
        <w:t>Eligibility Criteria</w:t>
      </w:r>
    </w:p>
    <w:p w14:paraId="3FAF972F" w14:textId="3C042412" w:rsidR="007E74D6" w:rsidRPr="00CD744F" w:rsidRDefault="00216F49" w:rsidP="00216F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44F">
        <w:rPr>
          <w:rFonts w:ascii="Times New Roman" w:hAnsi="Times New Roman" w:cs="Times New Roman"/>
          <w:sz w:val="24"/>
          <w:szCs w:val="24"/>
        </w:rPr>
        <w:t xml:space="preserve">Based on </w:t>
      </w:r>
      <w:r w:rsidR="007131E2">
        <w:rPr>
          <w:rFonts w:ascii="Times New Roman" w:hAnsi="Times New Roman" w:cs="Times New Roman"/>
          <w:sz w:val="24"/>
          <w:szCs w:val="24"/>
        </w:rPr>
        <w:t>Intake and/or MCO screening</w:t>
      </w:r>
      <w:r w:rsidRPr="00CD744F">
        <w:rPr>
          <w:rFonts w:ascii="Times New Roman" w:hAnsi="Times New Roman" w:cs="Times New Roman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dmission to Outpatient Level of Care is indicated due to </w:t>
      </w:r>
      <w:r w:rsidR="007E74D6" w:rsidRPr="000E0D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ALL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the following:</w:t>
      </w:r>
      <w:r w:rsidRPr="00CD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1F61" w14:textId="7D29B129" w:rsidR="00216F49" w:rsidRPr="00CD744F" w:rsidRDefault="000E0D83" w:rsidP="00216F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 or severity of behavioral health disorder is appropriate to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oposed level of care and 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active symptoms that require ongoing treatment as indicated by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</w:t>
      </w:r>
      <w:bookmarkStart w:id="0" w:name="cl_c_16"/>
      <w:bookmarkEnd w:id="0"/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858684" w14:textId="56992802" w:rsidR="00216F49" w:rsidRPr="00CD744F" w:rsidRDefault="007E74D6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Mild </w:t>
      </w:r>
      <w:hyperlink r:id="rId10" w:history="1">
        <w:r w:rsidR="00CD744F" w:rsidRPr="00CD744F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 w:rsidRPr="00CD744F">
          <w:rPr>
            <w:rFonts w:ascii="Times New Roman" w:eastAsia="Times New Roman" w:hAnsi="Times New Roman" w:cs="Times New Roman"/>
            <w:sz w:val="24"/>
            <w:szCs w:val="24"/>
          </w:rPr>
          <w:t>sychiatric, behavioral, or other comorbid conditions for adult</w:t>
        </w:r>
      </w:hyperlink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bookmarkStart w:id="1" w:name="cl_f_3"/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"https://careweb.careguidelines.com/ed24/bhg/15436402.htm" </w:instrText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bookmarkEnd w:id="1"/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]</w:t>
      </w:r>
    </w:p>
    <w:p w14:paraId="41AEC371" w14:textId="5B5EFFBB" w:rsidR="007E74D6" w:rsidRPr="00CD744F" w:rsidRDefault="00162D28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Mild dysfunction in daily living for adult</w:t>
        </w:r>
      </w:hyperlink>
    </w:p>
    <w:p w14:paraId="688C98EB" w14:textId="61EF5D3A" w:rsidR="007E74D6" w:rsidRPr="00CD744F" w:rsidRDefault="007E74D6" w:rsidP="00216F4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Treatment services available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in an outpatient level of care a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necessary to meet </w:t>
      </w:r>
      <w:r w:rsidR="000E0D83"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 </w:t>
      </w:r>
      <w:r w:rsidRPr="000E0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 more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is present:</w:t>
      </w:r>
    </w:p>
    <w:p w14:paraId="5C9CD786" w14:textId="5EBA7820" w:rsidR="00216F49" w:rsidRPr="00CD744F" w:rsidRDefault="003A1B09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 Served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specific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 related to admission diagnosis is present and judged likely to further improve at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outpatient level of care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186E46" w14:textId="77777777" w:rsidR="00216F49" w:rsidRPr="00CD744F" w:rsidRDefault="007E74D6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l_c_35"/>
      <w:bookmarkStart w:id="3" w:name="cl_c_36"/>
      <w:bookmarkEnd w:id="2"/>
      <w:bookmarkEnd w:id="3"/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treatment is necessary and appropriate, given patient condition or history.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A88131" w14:textId="61F45E82" w:rsidR="007E74D6" w:rsidRPr="00CD744F" w:rsidRDefault="000E0D83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willing to participate in treatment voluntarily.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0E1A9B" w14:textId="370C08B6" w:rsidR="00CD744F" w:rsidRPr="00CD744F" w:rsidRDefault="000E0D83" w:rsidP="00CD744F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sufficient ability to respond as planned to individual and group therapeutic interventions.</w:t>
      </w:r>
      <w:r w:rsidR="00CD744F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342825" w14:textId="27F9AF61" w:rsidR="00CD744F" w:rsidRDefault="00162D28" w:rsidP="000F52EA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Biopsychosocial stressors</w:t>
        </w:r>
      </w:hyperlink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have been assessed and are absent or manageable at proposed level of care (</w:t>
      </w:r>
      <w:proofErr w:type="spellStart"/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 any identified deficits can be managed by program directly or through alternative arrangements)</w:t>
      </w:r>
      <w:r w:rsidR="00CD744F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09FEAC" w14:textId="77777777" w:rsidR="000F52EA" w:rsidRPr="005273EC" w:rsidRDefault="000F52EA" w:rsidP="009D4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273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Evaluation</w:t>
      </w:r>
    </w:p>
    <w:p w14:paraId="0E7887AF" w14:textId="16798EEB" w:rsidR="000F52EA" w:rsidRPr="009D4DB6" w:rsidRDefault="000F52EA" w:rsidP="009D4DB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hAnsi="Times New Roman" w:cs="Times New Roman"/>
          <w:color w:val="000000"/>
          <w:sz w:val="24"/>
          <w:szCs w:val="24"/>
        </w:rPr>
        <w:t>Exploration of acute precipitants</w:t>
      </w:r>
    </w:p>
    <w:p w14:paraId="40FA0B3B" w14:textId="77777777" w:rsidR="000F52EA" w:rsidRPr="009D4DB6" w:rsidRDefault="000F52EA" w:rsidP="009D4DB6">
      <w:pPr>
        <w:pStyle w:val="otglist1"/>
        <w:numPr>
          <w:ilvl w:val="0"/>
          <w:numId w:val="11"/>
        </w:numPr>
        <w:rPr>
          <w:color w:val="000000"/>
        </w:rPr>
      </w:pPr>
      <w:r w:rsidRPr="009D4DB6">
        <w:rPr>
          <w:color w:val="000000"/>
        </w:rPr>
        <w:t>Psychiatric, social, medical, and substance use histories</w:t>
      </w:r>
    </w:p>
    <w:p w14:paraId="7197D3B1" w14:textId="77777777" w:rsidR="000F52EA" w:rsidRDefault="000F52EA" w:rsidP="000F52EA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>Mental status examination</w:t>
      </w:r>
    </w:p>
    <w:p w14:paraId="6B098166" w14:textId="088EA88A" w:rsidR="00F048E6" w:rsidRPr="009D4DB6" w:rsidRDefault="00F048E6" w:rsidP="000F52EA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 xml:space="preserve">Social Determinants of Health Assessment </w:t>
      </w:r>
    </w:p>
    <w:p w14:paraId="2E8FFB88" w14:textId="48A03095" w:rsidR="00B553DE" w:rsidRPr="00B553DE" w:rsidRDefault="000F52EA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Symptoms and functioning assessed </w:t>
      </w:r>
      <w:r w:rsidR="006A3302">
        <w:rPr>
          <w:color w:val="000000"/>
        </w:rPr>
        <w:t>regularly</w:t>
      </w:r>
      <w:r w:rsidR="00B553DE">
        <w:rPr>
          <w:color w:val="000000"/>
        </w:rPr>
        <w:t xml:space="preserve"> </w:t>
      </w:r>
      <w:r w:rsidR="00B553DE" w:rsidRPr="00B553DE">
        <w:rPr>
          <w:color w:val="000000"/>
        </w:rPr>
        <w:t>through assessments such as the PHQ-9, Life Events Checklist, and the Columbia-Suicide Severity Rating Scale (C-SSRS).</w:t>
      </w:r>
    </w:p>
    <w:p w14:paraId="66869121" w14:textId="06F68756" w:rsidR="00B553DE" w:rsidRPr="00B553DE" w:rsidRDefault="00B553DE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>Level of care assessed through the Level of Care Utilization System (LOCUS).</w:t>
      </w:r>
    </w:p>
    <w:p w14:paraId="271CD3D5" w14:textId="66FB0C2C" w:rsidR="000F52EA" w:rsidRPr="005273EC" w:rsidRDefault="000F52EA" w:rsidP="000F52EA">
      <w:pPr>
        <w:pStyle w:val="otglist1"/>
        <w:spacing w:line="312" w:lineRule="atLeast"/>
        <w:rPr>
          <w:b/>
          <w:color w:val="000000"/>
          <w:u w:val="single"/>
        </w:rPr>
      </w:pPr>
      <w:r w:rsidRPr="005273EC">
        <w:rPr>
          <w:b/>
          <w:color w:val="000000"/>
          <w:u w:val="single"/>
        </w:rPr>
        <w:t>Medication</w:t>
      </w:r>
    </w:p>
    <w:p w14:paraId="09F8754C" w14:textId="4790569D" w:rsidR="009D4DB6" w:rsidRDefault="000F52EA" w:rsidP="009D4DB6">
      <w:pPr>
        <w:pStyle w:val="otglist1"/>
        <w:numPr>
          <w:ilvl w:val="0"/>
          <w:numId w:val="12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Appropriate medication(s) for manic, </w:t>
      </w:r>
      <w:r w:rsidR="00F048E6">
        <w:rPr>
          <w:color w:val="000000"/>
        </w:rPr>
        <w:t xml:space="preserve">hypomanic, </w:t>
      </w:r>
      <w:r w:rsidRPr="009D4DB6">
        <w:rPr>
          <w:color w:val="000000"/>
        </w:rPr>
        <w:t>mixed, or depressive episode</w:t>
      </w:r>
    </w:p>
    <w:p w14:paraId="438536D4" w14:textId="6B55A019" w:rsidR="00F048E6" w:rsidRDefault="000431C9" w:rsidP="009D4DB6">
      <w:pPr>
        <w:pStyle w:val="otglist1"/>
        <w:numPr>
          <w:ilvl w:val="0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Monitoring of Adverse effects of medications, including:</w:t>
      </w:r>
    </w:p>
    <w:p w14:paraId="33980DC9" w14:textId="136B197F" w:rsid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Lithium toxicity (tremor, nausea, diarrhea, confusion)</w:t>
      </w:r>
    </w:p>
    <w:p w14:paraId="66778D0D" w14:textId="16982D5A" w:rsid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lastRenderedPageBreak/>
        <w:t>Acute and long-term extrapyramidal side effects of antipsychotic medication/s</w:t>
      </w:r>
    </w:p>
    <w:p w14:paraId="239141DB" w14:textId="4EB8BFC4" w:rsid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Metabolic abnormalities associated with antipsychotic medication/s</w:t>
      </w:r>
    </w:p>
    <w:p w14:paraId="0D2B3C66" w14:textId="71F93EA1" w:rsid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Potentially fatal rash with lamotrigine</w:t>
      </w:r>
    </w:p>
    <w:p w14:paraId="20A195B7" w14:textId="6A7F11F8" w:rsid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 xml:space="preserve">Blood </w:t>
      </w:r>
      <w:proofErr w:type="spellStart"/>
      <w:r>
        <w:rPr>
          <w:color w:val="000000"/>
        </w:rPr>
        <w:t>dyscrasias</w:t>
      </w:r>
      <w:proofErr w:type="spellEnd"/>
      <w:r>
        <w:rPr>
          <w:color w:val="000000"/>
        </w:rPr>
        <w:t xml:space="preserve"> with clozapine or carbamazepine</w:t>
      </w:r>
    </w:p>
    <w:p w14:paraId="27E1562D" w14:textId="3EC833CF" w:rsid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Hepatic enzyme induction by carbamazepine, which lowers plasma levels of antipsychotics and other medications</w:t>
      </w:r>
    </w:p>
    <w:p w14:paraId="6E2FE745" w14:textId="157B38AE" w:rsidR="000431C9" w:rsidRPr="000431C9" w:rsidRDefault="000431C9" w:rsidP="000431C9">
      <w:pPr>
        <w:pStyle w:val="otglist1"/>
        <w:numPr>
          <w:ilvl w:val="1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Encephalopathy due to elevated ammonia level with valproate</w:t>
      </w:r>
    </w:p>
    <w:p w14:paraId="1115E2C5" w14:textId="1BB88B0D" w:rsidR="007E74D6" w:rsidRPr="005273EC" w:rsidRDefault="000F52EA" w:rsidP="009D4DB6">
      <w:pPr>
        <w:pStyle w:val="otglist1"/>
        <w:spacing w:line="312" w:lineRule="atLeast"/>
        <w:rPr>
          <w:b/>
          <w:color w:val="000000"/>
          <w:u w:val="single"/>
        </w:rPr>
      </w:pPr>
      <w:r w:rsidRPr="005273EC">
        <w:rPr>
          <w:b/>
          <w:color w:val="000000"/>
          <w:u w:val="single"/>
        </w:rPr>
        <w:t xml:space="preserve">Interventions and Therapy </w:t>
      </w:r>
      <w:bookmarkStart w:id="4" w:name="_GoBack"/>
      <w:bookmarkEnd w:id="4"/>
    </w:p>
    <w:p w14:paraId="782993B1" w14:textId="77777777" w:rsidR="000F52EA" w:rsidRPr="009D4DB6" w:rsidRDefault="00CD744F" w:rsidP="000F52EA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Possible regular safety checks between visits</w:t>
      </w:r>
    </w:p>
    <w:p w14:paraId="744A22A4" w14:textId="1041CE34" w:rsidR="000F52EA" w:rsidRPr="009D4DB6" w:rsidRDefault="00CD744F" w:rsidP="000F52EA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Establish </w:t>
      </w:r>
      <w:r w:rsidR="00F048E6">
        <w:rPr>
          <w:color w:val="000000"/>
        </w:rPr>
        <w:t xml:space="preserve">and review </w:t>
      </w:r>
      <w:r w:rsidRPr="009D4DB6">
        <w:rPr>
          <w:color w:val="000000"/>
        </w:rPr>
        <w:t xml:space="preserve">crisis plan with </w:t>
      </w:r>
      <w:r w:rsidR="00F048E6">
        <w:rPr>
          <w:color w:val="000000"/>
        </w:rPr>
        <w:t xml:space="preserve">Person Served </w:t>
      </w:r>
      <w:r w:rsidRPr="009D4DB6">
        <w:rPr>
          <w:color w:val="000000"/>
        </w:rPr>
        <w:t>and supports</w:t>
      </w:r>
    </w:p>
    <w:p w14:paraId="0757A7F2" w14:textId="4BA65ECF" w:rsidR="00F048E6" w:rsidRPr="00F048E6" w:rsidRDefault="000F52EA" w:rsidP="00F048E6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Clinical management and psychoeducation</w:t>
      </w:r>
    </w:p>
    <w:p w14:paraId="5B5A1F16" w14:textId="77777777" w:rsidR="00D52131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Psychotherapy (</w:t>
      </w:r>
      <w:proofErr w:type="spellStart"/>
      <w:r w:rsidRPr="009D4DB6">
        <w:rPr>
          <w:color w:val="000000"/>
        </w:rPr>
        <w:t>eg</w:t>
      </w:r>
      <w:proofErr w:type="spellEnd"/>
      <w:r w:rsidRPr="009D4DB6">
        <w:rPr>
          <w:color w:val="000000"/>
        </w:rPr>
        <w:t xml:space="preserve">, cognitive behavioral therapy, interpersonal psychotherapy, or family intervention for bipolar depressive episode) </w:t>
      </w:r>
    </w:p>
    <w:p w14:paraId="07A72675" w14:textId="63B990F5" w:rsidR="00F048E6" w:rsidRPr="00F048E6" w:rsidRDefault="00F048E6" w:rsidP="00F048E6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Substance Use Disorder assessment and specialized treatment, as appropriate</w:t>
      </w:r>
    </w:p>
    <w:p w14:paraId="26FB6E59" w14:textId="3AE55144" w:rsidR="000F52EA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Case management as needed and appropriate</w:t>
      </w:r>
    </w:p>
    <w:p w14:paraId="4890117A" w14:textId="59FB4CD6" w:rsidR="00F048E6" w:rsidRDefault="00F048E6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Possible referral, as clinically appropriate for other treatments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>, Electroconvulsive Therapy ECT)</w:t>
      </w:r>
    </w:p>
    <w:p w14:paraId="60FAE676" w14:textId="7A979444" w:rsidR="00F048E6" w:rsidRDefault="00F048E6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Self-help group or support group referral</w:t>
      </w:r>
    </w:p>
    <w:p w14:paraId="14682672" w14:textId="333A38FD" w:rsidR="00F048E6" w:rsidRPr="009D4DB6" w:rsidRDefault="00F048E6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Continued monitoring of Person Served status for</w:t>
      </w:r>
      <w:r w:rsidR="000431C9">
        <w:rPr>
          <w:color w:val="000000"/>
        </w:rPr>
        <w:t xml:space="preserve"> suicidality,</w:t>
      </w:r>
      <w:r>
        <w:rPr>
          <w:color w:val="000000"/>
        </w:rPr>
        <w:t xml:space="preserve"> deterioration and comorbid conditions. </w:t>
      </w:r>
    </w:p>
    <w:p w14:paraId="50AB9DCD" w14:textId="77777777" w:rsidR="00D52131" w:rsidRPr="005273EC" w:rsidRDefault="00D52131" w:rsidP="00D52131">
      <w:pPr>
        <w:pStyle w:val="otglist1"/>
        <w:spacing w:line="312" w:lineRule="atLeast"/>
        <w:rPr>
          <w:b/>
          <w:color w:val="000000"/>
          <w:u w:val="single"/>
        </w:rPr>
      </w:pPr>
      <w:r w:rsidRPr="005273EC">
        <w:rPr>
          <w:b/>
          <w:color w:val="000000"/>
          <w:u w:val="single"/>
        </w:rPr>
        <w:t>Discharge Criteria</w:t>
      </w:r>
    </w:p>
    <w:p w14:paraId="7D7F8291" w14:textId="4979424F" w:rsidR="000431C9" w:rsidRPr="000431C9" w:rsidRDefault="000431C9" w:rsidP="000431C9">
      <w:pPr>
        <w:pStyle w:val="otglist1"/>
        <w:rPr>
          <w:color w:val="000000"/>
        </w:rPr>
      </w:pPr>
      <w:r>
        <w:rPr>
          <w:color w:val="000000"/>
        </w:rPr>
        <w:t xml:space="preserve">Outpatient care is generally necessary to continue until </w:t>
      </w:r>
      <w:r w:rsidRPr="005138FF">
        <w:rPr>
          <w:b/>
          <w:color w:val="000000"/>
        </w:rPr>
        <w:t xml:space="preserve">1 or more </w:t>
      </w:r>
      <w:r>
        <w:rPr>
          <w:color w:val="000000"/>
        </w:rPr>
        <w:t>of the following:</w:t>
      </w:r>
    </w:p>
    <w:p w14:paraId="0BD98E48" w14:textId="513B4A78" w:rsidR="00D52131" w:rsidRPr="00D52131" w:rsidRDefault="00D52131" w:rsidP="009D4DB6">
      <w:pPr>
        <w:pStyle w:val="otglist1"/>
        <w:rPr>
          <w:color w:val="000000"/>
        </w:rPr>
      </w:pPr>
      <w:r w:rsidRPr="009D4DB6">
        <w:rPr>
          <w:color w:val="000000"/>
        </w:rPr>
        <w:t xml:space="preserve">      </w:t>
      </w:r>
      <w:r w:rsidR="005E260D">
        <w:rPr>
          <w:color w:val="000000"/>
        </w:rPr>
        <w:t xml:space="preserve">1.   Adequate person served </w:t>
      </w:r>
      <w:r w:rsidRPr="009D4DB6">
        <w:rPr>
          <w:color w:val="000000"/>
        </w:rPr>
        <w:t>stabilization or improvement as indicated by</w:t>
      </w:r>
      <w:r w:rsidRPr="00860B81">
        <w:rPr>
          <w:color w:val="000000"/>
        </w:rPr>
        <w:t> </w:t>
      </w:r>
      <w:r w:rsidR="000431C9">
        <w:rPr>
          <w:b/>
          <w:color w:val="000000"/>
        </w:rPr>
        <w:t>ALL</w:t>
      </w:r>
      <w:r w:rsidR="00860B81" w:rsidRPr="009D4DB6">
        <w:rPr>
          <w:color w:val="000000"/>
        </w:rPr>
        <w:t xml:space="preserve"> </w:t>
      </w:r>
      <w:r w:rsidRPr="009D4DB6">
        <w:rPr>
          <w:color w:val="000000"/>
        </w:rPr>
        <w:t>of the following</w:t>
      </w:r>
      <w:bookmarkStart w:id="5" w:name="cl_c_256"/>
      <w:bookmarkStart w:id="6" w:name="cl_c_257"/>
      <w:bookmarkStart w:id="7" w:name="cl_c_258"/>
      <w:bookmarkEnd w:id="5"/>
      <w:bookmarkEnd w:id="6"/>
      <w:bookmarkEnd w:id="7"/>
      <w:r w:rsidRPr="009D4DB6">
        <w:rPr>
          <w:color w:val="000000"/>
        </w:rPr>
        <w:t>:</w:t>
      </w:r>
    </w:p>
    <w:p w14:paraId="343417D4" w14:textId="513F7A37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houghts of suicide or serious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self</w:t>
      </w:r>
    </w:p>
    <w:p w14:paraId="4D82F848" w14:textId="44FF82BB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 thoughts of homicide or serious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another</w:t>
      </w:r>
    </w:p>
    <w:p w14:paraId="347BBAF3" w14:textId="77777777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Patient and supports, as appropriate, understand follow-up treatment and crisis plan.</w:t>
      </w:r>
    </w:p>
    <w:p w14:paraId="09BFB91F" w14:textId="4829433C" w:rsidR="00D52131" w:rsidRPr="00D52131" w:rsidRDefault="00D52131" w:rsidP="00D5213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improvement sufficient as indicated by </w:t>
      </w:r>
      <w:r w:rsidRPr="00043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 more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1B2DA09F" w14:textId="77777777" w:rsidR="00D52131" w:rsidRPr="00D52131" w:rsidRDefault="00D52131" w:rsidP="00D52131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Minimal or no current impairment in self-care or role functioning attributable to psychiatric disorder</w:t>
      </w:r>
    </w:p>
    <w:p w14:paraId="4077BCBE" w14:textId="12360B33" w:rsidR="00D52131" w:rsidRPr="00D52131" w:rsidRDefault="00D52131" w:rsidP="00D52131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optimized as indicated by </w:t>
      </w:r>
      <w:r w:rsidR="000C0F0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4C909BB7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stable with current treatment and support</w:t>
      </w:r>
    </w:p>
    <w:p w14:paraId="62B29B63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</w:p>
    <w:p w14:paraId="790011FB" w14:textId="19A776FB" w:rsidR="00D52131" w:rsidRPr="00D52131" w:rsidRDefault="009D4DB6" w:rsidP="009D4DB6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3.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relief sufficient as indicated by </w:t>
      </w:r>
      <w:r w:rsidR="00043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12BED567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 goals met</w:t>
      </w:r>
    </w:p>
    <w:p w14:paraId="3E0D96C7" w14:textId="5924820C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status acceptable as indicated by ALL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2A5E1946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Symptoms stabilized</w:t>
      </w:r>
    </w:p>
    <w:p w14:paraId="76FC691E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</w:p>
    <w:p w14:paraId="4C59AA2B" w14:textId="4698E78A" w:rsidR="00D52131" w:rsidRPr="00D52131" w:rsidRDefault="009D4DB6" w:rsidP="00B248A4">
      <w:pPr>
        <w:shd w:val="clear" w:color="auto" w:fill="FFFFFF"/>
        <w:spacing w:before="100" w:beforeAutospacing="1" w:after="100" w:afterAutospacing="1" w:line="312" w:lineRule="atLeast"/>
        <w:ind w:left="90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needs absent or manageable at available lower level of care as indicated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0C0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26E220A5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Adverse medication effects absent or manageable</w:t>
      </w:r>
    </w:p>
    <w:p w14:paraId="4C0B186E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comorbidity absent or manageable</w:t>
      </w:r>
    </w:p>
    <w:p w14:paraId="60B52088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complications absent or manageable (</w:t>
      </w:r>
      <w:proofErr w:type="spellStart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, complications of eating disorder)</w:t>
      </w:r>
    </w:p>
    <w:p w14:paraId="1FADE2D1" w14:textId="77777777" w:rsid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Substance-related disorder absent or manageable</w:t>
      </w:r>
    </w:p>
    <w:p w14:paraId="72F76A0D" w14:textId="18BDA7F7" w:rsidR="000431C9" w:rsidRDefault="000431C9" w:rsidP="000431C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5.    Outpatient care is no longer indicated due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or more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4D999A34" w14:textId="6AE07ED6" w:rsidR="000431C9" w:rsidRDefault="000431C9" w:rsidP="000431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Higher level of care is indicated, due to deterioration, need for higher level of clinical supervision to meet treatment needs or greater service intensity is needed to reinforce skills</w:t>
      </w:r>
    </w:p>
    <w:p w14:paraId="446C65D1" w14:textId="21AECF1D" w:rsidR="000431C9" w:rsidRPr="000431C9" w:rsidRDefault="000431C9" w:rsidP="000431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 or guardian declines to continue treatment</w:t>
      </w:r>
    </w:p>
    <w:p w14:paraId="4EE914A1" w14:textId="77777777" w:rsidR="00D52131" w:rsidRPr="009D4DB6" w:rsidRDefault="00D52131" w:rsidP="00D52131">
      <w:pPr>
        <w:pStyle w:val="otglist1"/>
        <w:spacing w:line="312" w:lineRule="atLeast"/>
        <w:rPr>
          <w:color w:val="000000"/>
        </w:rPr>
      </w:pPr>
    </w:p>
    <w:p w14:paraId="2E9D8FCF" w14:textId="77777777" w:rsidR="00CD744F" w:rsidRPr="009D4DB6" w:rsidRDefault="00CD744F" w:rsidP="00CD744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D744F" w:rsidRPr="009D4DB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DD13" w14:textId="77777777" w:rsidR="00162D28" w:rsidRDefault="00162D28" w:rsidP="00F73D60">
      <w:pPr>
        <w:spacing w:after="0" w:line="240" w:lineRule="auto"/>
      </w:pPr>
      <w:r>
        <w:separator/>
      </w:r>
    </w:p>
  </w:endnote>
  <w:endnote w:type="continuationSeparator" w:id="0">
    <w:p w14:paraId="29DB7D02" w14:textId="77777777" w:rsidR="00162D28" w:rsidRDefault="00162D28" w:rsidP="00F7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0436" w14:textId="2FD1E3CF" w:rsidR="00F73D60" w:rsidRDefault="00F73D60">
    <w:pPr>
      <w:pStyle w:val="Footer"/>
    </w:pPr>
    <w:r>
      <w:t>Created April 2021</w:t>
    </w:r>
  </w:p>
  <w:p w14:paraId="396941B1" w14:textId="77777777" w:rsidR="001923E0" w:rsidRPr="009D4DB6" w:rsidRDefault="00F73D60" w:rsidP="001923E0">
    <w:pPr>
      <w:rPr>
        <w:rFonts w:ascii="Times New Roman" w:hAnsi="Times New Roman" w:cs="Times New Roman"/>
        <w:sz w:val="24"/>
        <w:szCs w:val="24"/>
      </w:rPr>
    </w:pPr>
    <w:r>
      <w:t>Updated May 2022</w:t>
    </w:r>
    <w:r w:rsidR="001923E0">
      <w:t xml:space="preserve">                                                             </w:t>
    </w:r>
    <w:r w:rsidR="001923E0">
      <w:rPr>
        <w:rFonts w:ascii="Times New Roman" w:hAnsi="Times New Roman" w:cs="Times New Roman"/>
        <w:sz w:val="24"/>
        <w:szCs w:val="24"/>
      </w:rPr>
      <w:t>References: MCG Health. mcg.com</w:t>
    </w:r>
  </w:p>
  <w:p w14:paraId="221D41CF" w14:textId="69248759" w:rsidR="00F73D60" w:rsidRDefault="00F73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43383" w14:textId="77777777" w:rsidR="00162D28" w:rsidRDefault="00162D28" w:rsidP="00F73D60">
      <w:pPr>
        <w:spacing w:after="0" w:line="240" w:lineRule="auto"/>
      </w:pPr>
      <w:r>
        <w:separator/>
      </w:r>
    </w:p>
  </w:footnote>
  <w:footnote w:type="continuationSeparator" w:id="0">
    <w:p w14:paraId="348A936C" w14:textId="77777777" w:rsidR="00162D28" w:rsidRDefault="00162D28" w:rsidP="00F7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115"/>
    <w:multiLevelType w:val="multilevel"/>
    <w:tmpl w:val="045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42887"/>
    <w:multiLevelType w:val="multilevel"/>
    <w:tmpl w:val="4E2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D7C46"/>
    <w:multiLevelType w:val="hybridMultilevel"/>
    <w:tmpl w:val="9430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F7"/>
    <w:multiLevelType w:val="hybridMultilevel"/>
    <w:tmpl w:val="82CC2D92"/>
    <w:lvl w:ilvl="0" w:tplc="ED68412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C451642"/>
    <w:multiLevelType w:val="multilevel"/>
    <w:tmpl w:val="3CD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136CB"/>
    <w:multiLevelType w:val="hybridMultilevel"/>
    <w:tmpl w:val="B93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561"/>
    <w:multiLevelType w:val="hybridMultilevel"/>
    <w:tmpl w:val="3342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48E"/>
    <w:multiLevelType w:val="hybridMultilevel"/>
    <w:tmpl w:val="DC16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5F1D71"/>
    <w:multiLevelType w:val="hybridMultilevel"/>
    <w:tmpl w:val="34642DC4"/>
    <w:lvl w:ilvl="0" w:tplc="8FEC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40D7A"/>
    <w:multiLevelType w:val="hybridMultilevel"/>
    <w:tmpl w:val="5B80D25E"/>
    <w:lvl w:ilvl="0" w:tplc="44F4D9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47C8"/>
    <w:multiLevelType w:val="multilevel"/>
    <w:tmpl w:val="1F42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829"/>
    <w:multiLevelType w:val="hybridMultilevel"/>
    <w:tmpl w:val="6FC6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F6653"/>
    <w:multiLevelType w:val="hybridMultilevel"/>
    <w:tmpl w:val="9844F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B2461"/>
    <w:multiLevelType w:val="multilevel"/>
    <w:tmpl w:val="A0D6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A7FE7"/>
    <w:multiLevelType w:val="multilevel"/>
    <w:tmpl w:val="397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</w:num>
  <w:num w:numId="18">
    <w:abstractNumId w:val="1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6"/>
    <w:rsid w:val="00005D2A"/>
    <w:rsid w:val="000431C9"/>
    <w:rsid w:val="000C0F04"/>
    <w:rsid w:val="000E0D83"/>
    <w:rsid w:val="000F52EA"/>
    <w:rsid w:val="00162D28"/>
    <w:rsid w:val="001923E0"/>
    <w:rsid w:val="00216F49"/>
    <w:rsid w:val="0037345E"/>
    <w:rsid w:val="003A1B09"/>
    <w:rsid w:val="005273EC"/>
    <w:rsid w:val="005E260D"/>
    <w:rsid w:val="006A3302"/>
    <w:rsid w:val="007131E2"/>
    <w:rsid w:val="007A44A4"/>
    <w:rsid w:val="007E74D6"/>
    <w:rsid w:val="00860B81"/>
    <w:rsid w:val="00991962"/>
    <w:rsid w:val="009D4DB6"/>
    <w:rsid w:val="00B248A4"/>
    <w:rsid w:val="00B553DE"/>
    <w:rsid w:val="00CD744F"/>
    <w:rsid w:val="00D52131"/>
    <w:rsid w:val="00DA7933"/>
    <w:rsid w:val="00F048E6"/>
    <w:rsid w:val="00F2749B"/>
    <w:rsid w:val="00F73D60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D0CD"/>
  <w15:chartTrackingRefBased/>
  <w15:docId w15:val="{822342A5-B84B-41F4-805E-4006BD06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49"/>
    <w:pPr>
      <w:ind w:left="720"/>
      <w:contextualSpacing/>
    </w:pPr>
  </w:style>
  <w:style w:type="paragraph" w:customStyle="1" w:styleId="otglist1">
    <w:name w:val="otglist1"/>
    <w:basedOn w:val="Normal"/>
    <w:rsid w:val="00CD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D60"/>
  </w:style>
  <w:style w:type="paragraph" w:styleId="Footer">
    <w:name w:val="footer"/>
    <w:basedOn w:val="Normal"/>
    <w:link w:val="FooterChar"/>
    <w:uiPriority w:val="99"/>
    <w:unhideWhenUsed/>
    <w:rsid w:val="00F7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web.careguidelines.com/ed24/bhg/1543640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web.careguidelines.com/ed24/bhg/15436402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reweb.careguidelines.com/ed24/bhg/15436402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E4B89875AAA4EA60A9C470CE8456F" ma:contentTypeVersion="11" ma:contentTypeDescription="Create a new document." ma:contentTypeScope="" ma:versionID="1359bc20dcf7d395d96079a9a0d334fd">
  <xsd:schema xmlns:xsd="http://www.w3.org/2001/XMLSchema" xmlns:xs="http://www.w3.org/2001/XMLSchema" xmlns:p="http://schemas.microsoft.com/office/2006/metadata/properties" xmlns:ns2="7ce84a23-425d-4c72-8f43-f6199db272de" xmlns:ns3="9313460d-e085-4a19-8fe0-d2cd8759af1e" targetNamespace="http://schemas.microsoft.com/office/2006/metadata/properties" ma:root="true" ma:fieldsID="6f28e4c02d1984fde4d784c4b0358742" ns2:_="" ns3:_="">
    <xsd:import namespace="7ce84a23-425d-4c72-8f43-f6199db272de"/>
    <xsd:import namespace="9313460d-e085-4a19-8fe0-d2cd8759a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4a23-425d-4c72-8f43-f6199db27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3460d-e085-4a19-8fe0-d2cd8759a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4C168-A5D8-40B8-ABB0-2CA17DA63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E088B-F685-4326-9952-37F27485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84a23-425d-4c72-8f43-f6199db272de"/>
    <ds:schemaRef ds:uri="9313460d-e085-4a19-8fe0-d2cd8759a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5F58F-A97D-4193-A39E-186BA75F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Ward</dc:creator>
  <cp:keywords/>
  <dc:description/>
  <cp:lastModifiedBy>Leslie Garrisi</cp:lastModifiedBy>
  <cp:revision>9</cp:revision>
  <dcterms:created xsi:type="dcterms:W3CDTF">2022-05-13T18:51:00Z</dcterms:created>
  <dcterms:modified xsi:type="dcterms:W3CDTF">2022-05-17T12:59:00Z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0x010100FBDE4B89875AAA4EA60A9C470CE8456F</vt:lpwstr>
  </property>
</Properties>
</file>